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 w:firstLine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632828" cy="12070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828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0" w:firstLine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 w:firstLine="0"/>
        <w:rPr>
          <w:rFonts w:ascii="Times New Roman"/>
          <w:b w:val="0"/>
          <w:sz w:val="17"/>
        </w:rPr>
      </w:pPr>
    </w:p>
    <w:p>
      <w:pPr>
        <w:spacing w:before="101"/>
        <w:ind w:left="320" w:right="492" w:firstLine="0"/>
        <w:jc w:val="center"/>
        <w:rPr>
          <w:rFonts w:ascii="Franklin Gothic Medium" w:hAnsi="Franklin Gothic Medium"/>
          <w:sz w:val="22"/>
        </w:rPr>
      </w:pPr>
      <w:bookmarkStart w:name="d89e87bc126167808857b87fa490dd250f9ce603" w:id="1"/>
      <w:bookmarkEnd w:id="1"/>
      <w:r>
        <w:rPr/>
      </w:r>
      <w:r>
        <w:rPr>
          <w:rFonts w:ascii="Franklin Gothic Medium" w:hAnsi="Franklin Gothic Medium"/>
          <w:w w:val="95"/>
          <w:sz w:val="22"/>
        </w:rPr>
        <w:t>ПРОГРАММА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ВЕБИНАРА</w:t>
      </w:r>
    </w:p>
    <w:p>
      <w:pPr>
        <w:spacing w:line="360" w:lineRule="auto" w:before="125"/>
        <w:ind w:left="320" w:right="498" w:firstLine="0"/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w w:val="95"/>
          <w:sz w:val="22"/>
        </w:rPr>
        <w:t>«Ключевые</w:t>
      </w:r>
      <w:r>
        <w:rPr>
          <w:rFonts w:ascii="Franklin Gothic Medium" w:hAnsi="Franklin Gothic Medium"/>
          <w:spacing w:val="22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тенденции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во</w:t>
      </w:r>
      <w:r>
        <w:rPr>
          <w:rFonts w:ascii="Franklin Gothic Medium" w:hAnsi="Franklin Gothic Medium"/>
          <w:spacing w:val="20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внешней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торговле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России.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Практические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инструменты</w:t>
      </w:r>
      <w:r>
        <w:rPr>
          <w:rFonts w:ascii="Franklin Gothic Medium" w:hAnsi="Franklin Gothic Medium"/>
          <w:spacing w:val="22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работы</w:t>
      </w:r>
      <w:r>
        <w:rPr>
          <w:rFonts w:ascii="Franklin Gothic Medium" w:hAnsi="Franklin Gothic Medium"/>
          <w:spacing w:val="23"/>
          <w:w w:val="95"/>
          <w:sz w:val="22"/>
        </w:rPr>
        <w:t> </w:t>
      </w:r>
      <w:r>
        <w:rPr>
          <w:rFonts w:ascii="Franklin Gothic Medium" w:hAnsi="Franklin Gothic Medium"/>
          <w:w w:val="95"/>
          <w:sz w:val="22"/>
        </w:rPr>
        <w:t>в</w:t>
      </w:r>
      <w:r>
        <w:rPr>
          <w:rFonts w:ascii="Franklin Gothic Medium" w:hAnsi="Franklin Gothic Medium"/>
          <w:spacing w:val="1"/>
          <w:w w:val="95"/>
          <w:sz w:val="22"/>
        </w:rPr>
        <w:t> </w:t>
      </w:r>
      <w:r>
        <w:rPr>
          <w:rFonts w:ascii="Franklin Gothic Medium" w:hAnsi="Franklin Gothic Medium"/>
          <w:sz w:val="22"/>
        </w:rPr>
        <w:t>условиях</w:t>
      </w:r>
      <w:r>
        <w:rPr>
          <w:rFonts w:ascii="Franklin Gothic Medium" w:hAnsi="Franklin Gothic Medium"/>
          <w:spacing w:val="-1"/>
          <w:sz w:val="22"/>
        </w:rPr>
        <w:t> </w:t>
      </w:r>
      <w:r>
        <w:rPr>
          <w:rFonts w:ascii="Franklin Gothic Medium" w:hAnsi="Franklin Gothic Medium"/>
          <w:sz w:val="22"/>
        </w:rPr>
        <w:t>внешних</w:t>
      </w:r>
      <w:r>
        <w:rPr>
          <w:rFonts w:ascii="Franklin Gothic Medium" w:hAnsi="Franklin Gothic Medium"/>
          <w:spacing w:val="-1"/>
          <w:sz w:val="22"/>
        </w:rPr>
        <w:t> </w:t>
      </w:r>
      <w:r>
        <w:rPr>
          <w:rFonts w:ascii="Franklin Gothic Medium" w:hAnsi="Franklin Gothic Medium"/>
          <w:sz w:val="22"/>
        </w:rPr>
        <w:t>ограничений»</w:t>
      </w:r>
    </w:p>
    <w:p>
      <w:pPr>
        <w:spacing w:before="0"/>
        <w:ind w:left="320" w:right="492" w:firstLine="0"/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>3</w:t>
      </w:r>
      <w:r>
        <w:rPr>
          <w:rFonts w:ascii="Franklin Gothic Medium" w:hAnsi="Franklin Gothic Medium"/>
          <w:spacing w:val="-2"/>
          <w:sz w:val="22"/>
        </w:rPr>
        <w:t> </w:t>
      </w:r>
      <w:r>
        <w:rPr>
          <w:rFonts w:ascii="Franklin Gothic Medium" w:hAnsi="Franklin Gothic Medium"/>
          <w:sz w:val="22"/>
        </w:rPr>
        <w:t>апреля</w:t>
      </w:r>
      <w:r>
        <w:rPr>
          <w:rFonts w:ascii="Franklin Gothic Medium" w:hAnsi="Franklin Gothic Medium"/>
          <w:spacing w:val="-2"/>
          <w:sz w:val="22"/>
        </w:rPr>
        <w:t> </w:t>
      </w:r>
      <w:r>
        <w:rPr>
          <w:rFonts w:ascii="Franklin Gothic Medium" w:hAnsi="Franklin Gothic Medium"/>
          <w:sz w:val="22"/>
        </w:rPr>
        <w:t>2024</w:t>
      </w:r>
      <w:r>
        <w:rPr>
          <w:rFonts w:ascii="Franklin Gothic Medium" w:hAnsi="Franklin Gothic Medium"/>
          <w:spacing w:val="-1"/>
          <w:sz w:val="22"/>
        </w:rPr>
        <w:t> </w:t>
      </w:r>
      <w:r>
        <w:rPr>
          <w:rFonts w:ascii="Franklin Gothic Medium" w:hAnsi="Franklin Gothic Medium"/>
          <w:sz w:val="22"/>
        </w:rPr>
        <w:t>г.,</w:t>
      </w:r>
      <w:r>
        <w:rPr>
          <w:rFonts w:ascii="Franklin Gothic Medium" w:hAnsi="Franklin Gothic Medium"/>
          <w:spacing w:val="-1"/>
          <w:sz w:val="22"/>
        </w:rPr>
        <w:t> </w:t>
      </w:r>
      <w:r>
        <w:rPr>
          <w:rFonts w:ascii="Franklin Gothic Medium" w:hAnsi="Franklin Gothic Medium"/>
          <w:sz w:val="22"/>
        </w:rPr>
        <w:t>10:00-11:30</w:t>
      </w:r>
    </w:p>
    <w:p>
      <w:pPr>
        <w:pStyle w:val="BodyText"/>
        <w:ind w:left="0" w:firstLine="0"/>
        <w:rPr>
          <w:rFonts w:ascii="Franklin Gothic Medium"/>
          <w:b w:val="0"/>
          <w:sz w:val="24"/>
        </w:rPr>
      </w:pPr>
    </w:p>
    <w:p>
      <w:pPr>
        <w:pStyle w:val="BodyText"/>
        <w:spacing w:before="1"/>
        <w:ind w:left="0" w:firstLine="0"/>
        <w:rPr>
          <w:rFonts w:ascii="Franklin Gothic Medium"/>
          <w:b w:val="0"/>
          <w:sz w:val="20"/>
        </w:rPr>
      </w:pPr>
    </w:p>
    <w:p>
      <w:pPr>
        <w:pStyle w:val="Heading1"/>
        <w:numPr>
          <w:ilvl w:val="0"/>
          <w:numId w:val="1"/>
        </w:numPr>
        <w:tabs>
          <w:tab w:pos="659" w:val="left" w:leader="none"/>
        </w:tabs>
        <w:spacing w:line="360" w:lineRule="auto" w:before="0" w:after="0"/>
        <w:ind w:left="658" w:right="107" w:hanging="360"/>
        <w:jc w:val="both"/>
        <w:rPr>
          <w:rFonts w:ascii="Microsoft Sans Serif" w:hAnsi="Microsoft Sans Serif"/>
          <w:b w:val="0"/>
        </w:rPr>
      </w:pPr>
      <w:r>
        <w:rPr>
          <w:spacing w:val="-1"/>
        </w:rPr>
        <w:t>Презентация</w:t>
      </w:r>
      <w:r>
        <w:rPr>
          <w:spacing w:val="-8"/>
        </w:rPr>
        <w:t> </w:t>
      </w:r>
      <w:r>
        <w:rPr/>
        <w:t>аналитического</w:t>
      </w:r>
      <w:r>
        <w:rPr>
          <w:spacing w:val="-7"/>
        </w:rPr>
        <w:t> </w:t>
      </w:r>
      <w:r>
        <w:rPr/>
        <w:t>обзора</w:t>
      </w:r>
      <w:r>
        <w:rPr>
          <w:spacing w:val="-13"/>
        </w:rPr>
        <w:t> </w:t>
      </w:r>
      <w:r>
        <w:rPr>
          <w:rFonts w:ascii="Microsoft Sans Serif" w:hAnsi="Microsoft Sans Serif"/>
          <w:b w:val="0"/>
        </w:rPr>
        <w:t>«</w:t>
      </w:r>
      <w:r>
        <w:rPr/>
        <w:t>Мониторинг</w:t>
      </w:r>
      <w:r>
        <w:rPr>
          <w:spacing w:val="-11"/>
        </w:rPr>
        <w:t> </w:t>
      </w:r>
      <w:r>
        <w:rPr/>
        <w:t>затруднений</w:t>
      </w:r>
      <w:r>
        <w:rPr>
          <w:spacing w:val="-9"/>
        </w:rPr>
        <w:t> </w:t>
      </w:r>
      <w:r>
        <w:rPr/>
        <w:t>бизнеса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2"/>
        </w:rPr>
        <w:t> </w:t>
      </w:r>
      <w:r>
        <w:rPr/>
        <w:t>закупки</w:t>
      </w:r>
      <w:r>
        <w:rPr>
          <w:spacing w:val="1"/>
        </w:rPr>
        <w:t> </w:t>
      </w:r>
      <w:r>
        <w:rPr/>
        <w:t>импортной</w:t>
      </w:r>
      <w:r>
        <w:rPr>
          <w:spacing w:val="1"/>
        </w:rPr>
        <w:t> </w:t>
      </w:r>
      <w:r>
        <w:rPr/>
        <w:t>продукции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логистики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международных</w:t>
      </w:r>
      <w:r>
        <w:rPr>
          <w:spacing w:val="8"/>
        </w:rPr>
        <w:t> </w:t>
      </w:r>
      <w:r>
        <w:rPr/>
        <w:t>платежей</w:t>
      </w:r>
      <w:r>
        <w:rPr>
          <w:rFonts w:ascii="Microsoft Sans Serif" w:hAnsi="Microsoft Sans Serif"/>
          <w:b w:val="0"/>
        </w:rPr>
        <w:t>».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360" w:lineRule="auto" w:before="0" w:after="0"/>
        <w:ind w:left="658" w:right="110" w:hanging="360"/>
        <w:jc w:val="both"/>
        <w:rPr>
          <w:b/>
          <w:sz w:val="24"/>
        </w:rPr>
      </w:pPr>
      <w:r>
        <w:rPr>
          <w:b/>
          <w:sz w:val="24"/>
        </w:rPr>
        <w:t>Комплаенс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риски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внешнеторговой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антироссийских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санкций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360" w:lineRule="auto" w:before="0" w:after="0"/>
        <w:ind w:left="1215" w:right="105" w:hanging="36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почему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важно отслеживать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решения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Группы семи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для прогнозирования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своего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международного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бизнеса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1215" w:right="0" w:hanging="361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различия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между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санкциями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ЕС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США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357" w:lineRule="auto" w:before="134" w:after="0"/>
        <w:ind w:left="1215" w:right="105" w:hanging="36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последствия внесения в санкционные списки физических и юридических лиц в ЕС и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США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4" w:after="0"/>
        <w:ind w:left="1215" w:right="0" w:hanging="361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риски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секторальных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санкций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360" w:lineRule="auto" w:before="135" w:after="0"/>
        <w:ind w:left="1215" w:right="107" w:hanging="360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почему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банки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нейтральных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стран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включили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санкции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США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ЕС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свои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комплаенс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процедуры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это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выглядит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практике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1" w:after="0"/>
        <w:ind w:left="1215" w:right="0" w:hanging="361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экстерриториальное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применение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санкций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США</w:t>
      </w:r>
      <w:r>
        <w:rPr>
          <w:rFonts w:ascii="Microsoft Sans Serif" w:hAnsi="Microsoft Sans Serif"/>
          <w:sz w:val="22"/>
        </w:rPr>
        <w:t>,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b/>
          <w:sz w:val="22"/>
        </w:rPr>
        <w:t>где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проверить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свой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товар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134" w:after="0"/>
        <w:ind w:left="1215" w:right="0" w:hanging="361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как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спрогнозировать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мишень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вторичных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санкций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США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135" w:after="0"/>
        <w:ind w:left="1215" w:right="0" w:hanging="361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ответственность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нарушение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санкционного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режима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ЕС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США</w:t>
      </w:r>
      <w:r>
        <w:rPr>
          <w:rFonts w:ascii="Microsoft Sans Serif" w:hAnsi="Microsoft Sans Serif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132" w:after="0"/>
        <w:ind w:left="1215" w:right="0" w:hanging="361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кому доверять</w:t>
      </w:r>
      <w:r>
        <w:rPr>
          <w:rFonts w:ascii="Microsoft Sans Serif" w:hAnsi="Microsoft Sans Serif"/>
          <w:sz w:val="22"/>
        </w:rPr>
        <w:t>: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b/>
          <w:sz w:val="22"/>
        </w:rPr>
        <w:t>агрегаторам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санкций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первоисточникам</w:t>
      </w:r>
      <w:r>
        <w:rPr>
          <w:rFonts w:ascii="Microsoft Sans Serif" w:hAnsi="Microsoft Sans Serif"/>
          <w:sz w:val="22"/>
        </w:rPr>
        <w:t>?</w:t>
      </w:r>
    </w:p>
    <w:p>
      <w:pPr>
        <w:pStyle w:val="Heading1"/>
        <w:numPr>
          <w:ilvl w:val="0"/>
          <w:numId w:val="1"/>
        </w:numPr>
        <w:tabs>
          <w:tab w:pos="659" w:val="left" w:leader="none"/>
        </w:tabs>
        <w:spacing w:line="240" w:lineRule="auto" w:before="135" w:after="0"/>
        <w:ind w:left="658" w:right="0" w:hanging="361"/>
        <w:jc w:val="left"/>
        <w:rPr>
          <w:rFonts w:ascii="Microsoft Sans Serif" w:hAnsi="Microsoft Sans Serif"/>
          <w:b w:val="0"/>
        </w:rPr>
      </w:pPr>
      <w:r>
        <w:rPr/>
        <w:t>Практические</w:t>
      </w:r>
      <w:r>
        <w:rPr>
          <w:spacing w:val="3"/>
        </w:rPr>
        <w:t> </w:t>
      </w:r>
      <w:r>
        <w:rPr/>
        <w:t>инструменты</w:t>
      </w:r>
      <w:r>
        <w:rPr>
          <w:spacing w:val="5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условиях</w:t>
      </w:r>
      <w:r>
        <w:rPr>
          <w:spacing w:val="3"/>
        </w:rPr>
        <w:t> </w:t>
      </w:r>
      <w:r>
        <w:rPr/>
        <w:t>внешних</w:t>
      </w:r>
      <w:r>
        <w:rPr>
          <w:spacing w:val="4"/>
        </w:rPr>
        <w:t> </w:t>
      </w:r>
      <w:r>
        <w:rPr/>
        <w:t>ограничений</w:t>
      </w:r>
      <w:r>
        <w:rPr>
          <w:rFonts w:ascii="Microsoft Sans Serif" w:hAnsi="Microsoft Sans Serif"/>
          <w:b w:val="0"/>
        </w:rPr>
        <w:t>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147" w:after="0"/>
        <w:ind w:left="1378" w:right="0" w:hanging="361"/>
        <w:jc w:val="left"/>
        <w:rPr>
          <w:b/>
          <w:sz w:val="22"/>
        </w:rPr>
      </w:pPr>
      <w:r>
        <w:rPr>
          <w:b/>
          <w:sz w:val="22"/>
        </w:rPr>
        <w:t>Обзор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возможностей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проведению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платежей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360" w:lineRule="auto" w:before="134" w:after="0"/>
        <w:ind w:left="1378" w:right="107" w:hanging="360"/>
        <w:jc w:val="left"/>
        <w:rPr>
          <w:b/>
          <w:sz w:val="22"/>
        </w:rPr>
      </w:pPr>
      <w:r>
        <w:rPr>
          <w:b/>
          <w:sz w:val="22"/>
        </w:rPr>
        <w:t>Консультирование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 возможностям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закупки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иностранной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продукции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 условиях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санкций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1" w:after="0"/>
        <w:ind w:left="1378" w:right="0" w:hanging="361"/>
        <w:jc w:val="left"/>
        <w:rPr>
          <w:b/>
          <w:sz w:val="22"/>
        </w:rPr>
      </w:pPr>
      <w:r>
        <w:rPr>
          <w:b/>
          <w:sz w:val="22"/>
        </w:rPr>
        <w:t>Переход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аналоги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из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дружественных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стран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135" w:after="0"/>
        <w:ind w:left="1378" w:right="0" w:hanging="361"/>
        <w:jc w:val="left"/>
        <w:rPr>
          <w:b/>
          <w:sz w:val="22"/>
        </w:rPr>
      </w:pPr>
      <w:r>
        <w:rPr>
          <w:b/>
          <w:sz w:val="22"/>
        </w:rPr>
        <w:t>Проверка контрагентов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134" w:after="0"/>
        <w:ind w:left="1378" w:right="0" w:hanging="361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9.660004pt;margin-top:63.549095pt;width:45.6pt;height:10.25pt;mso-position-horizontal-relative:page;mso-position-vertical-relative:paragraph;z-index:-157644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Franklin Gothic Medium"/>
                      <w:sz w:val="18"/>
                    </w:rPr>
                  </w:pPr>
                  <w:hyperlink r:id="rId6">
                    <w:r>
                      <w:rPr>
                        <w:rFonts w:ascii="Franklin Gothic Medium"/>
                        <w:spacing w:val="-1"/>
                        <w:sz w:val="18"/>
                      </w:rPr>
                      <w:t>info@ftac.ru</w:t>
                    </w:r>
                  </w:hyperlink>
                </w:p>
              </w:txbxContent>
            </v:textbox>
            <w10:wrap type="none"/>
          </v:shape>
        </w:pict>
      </w:r>
      <w:r>
        <w:rPr>
          <w:b/>
          <w:sz w:val="22"/>
        </w:rPr>
        <w:t>Импортные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бизнес</w:t>
      </w:r>
      <w:r>
        <w:rPr>
          <w:rFonts w:ascii="Microsoft Sans Serif" w:hAnsi="Microsoft Sans Serif"/>
          <w:sz w:val="22"/>
        </w:rPr>
        <w:t>-</w:t>
      </w:r>
      <w:r>
        <w:rPr>
          <w:b/>
          <w:sz w:val="22"/>
        </w:rPr>
        <w:t>миссии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120" w:bottom="280" w:left="1480" w:right="1020"/>
        </w:sectPr>
      </w:pPr>
    </w:p>
    <w:p>
      <w:pPr>
        <w:spacing w:before="100"/>
        <w:ind w:left="1360" w:right="94" w:firstLine="0"/>
        <w:jc w:val="center"/>
        <w:rPr>
          <w:rFonts w:ascii="Franklin Gothic Medium" w:hAnsi="Franklin Gothic Medium"/>
          <w:sz w:val="18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2844619</wp:posOffset>
            </wp:positionH>
            <wp:positionV relativeFrom="page">
              <wp:posOffset>3447170</wp:posOffset>
            </wp:positionV>
            <wp:extent cx="4715944" cy="53677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44" cy="536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sz w:val="18"/>
        </w:rPr>
        <w:t>123376,</w:t>
      </w:r>
      <w:r>
        <w:rPr>
          <w:rFonts w:ascii="Franklin Gothic Medium" w:hAnsi="Franklin Gothic Medium"/>
          <w:spacing w:val="-4"/>
          <w:sz w:val="18"/>
        </w:rPr>
        <w:t> </w:t>
      </w:r>
      <w:r>
        <w:rPr>
          <w:rFonts w:ascii="Franklin Gothic Medium" w:hAnsi="Franklin Gothic Medium"/>
          <w:sz w:val="18"/>
        </w:rPr>
        <w:t>Москва,</w:t>
      </w:r>
    </w:p>
    <w:p>
      <w:pPr>
        <w:spacing w:before="0"/>
        <w:ind w:left="1268" w:right="0" w:firstLine="0"/>
        <w:jc w:val="center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pacing w:val="-1"/>
          <w:sz w:val="18"/>
        </w:rPr>
        <w:t>Красная</w:t>
      </w:r>
      <w:r>
        <w:rPr>
          <w:rFonts w:ascii="Franklin Gothic Medium" w:hAnsi="Franklin Gothic Medium"/>
          <w:spacing w:val="-10"/>
          <w:sz w:val="18"/>
        </w:rPr>
        <w:t> </w:t>
      </w:r>
      <w:r>
        <w:rPr>
          <w:rFonts w:ascii="Franklin Gothic Medium" w:hAnsi="Franklin Gothic Medium"/>
          <w:sz w:val="18"/>
        </w:rPr>
        <w:t>Пресня,</w:t>
      </w:r>
      <w:r>
        <w:rPr>
          <w:rFonts w:ascii="Franklin Gothic Medium" w:hAnsi="Franklin Gothic Medium"/>
          <w:spacing w:val="-8"/>
          <w:sz w:val="18"/>
        </w:rPr>
        <w:t> </w:t>
      </w:r>
      <w:r>
        <w:rPr>
          <w:rFonts w:ascii="Franklin Gothic Medium" w:hAnsi="Franklin Gothic Medium"/>
          <w:sz w:val="18"/>
        </w:rPr>
        <w:t>24</w:t>
      </w:r>
    </w:p>
    <w:p>
      <w:pPr>
        <w:tabs>
          <w:tab w:pos="3541" w:val="left" w:leader="none"/>
        </w:tabs>
        <w:spacing w:before="103"/>
        <w:ind w:left="1210" w:right="0" w:firstLine="0"/>
        <w:jc w:val="left"/>
        <w:rPr>
          <w:rFonts w:ascii="Franklin Gothic Medium"/>
          <w:sz w:val="18"/>
        </w:rPr>
      </w:pPr>
      <w:r>
        <w:rPr/>
        <w:br w:type="column"/>
      </w:r>
      <w:hyperlink r:id="rId8">
        <w:r>
          <w:rPr>
            <w:rFonts w:ascii="Franklin Gothic Medium"/>
            <w:sz w:val="18"/>
          </w:rPr>
          <w:t>http://ftac.ru</w:t>
        </w:r>
      </w:hyperlink>
      <w:r>
        <w:rPr>
          <w:rFonts w:ascii="Franklin Gothic Medium"/>
          <w:sz w:val="18"/>
        </w:rPr>
        <w:tab/>
      </w:r>
      <w:r>
        <w:rPr>
          <w:rFonts w:ascii="Franklin Gothic Medium"/>
          <w:position w:val="10"/>
          <w:sz w:val="18"/>
        </w:rPr>
        <w:t>+7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499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236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74</w:t>
      </w:r>
      <w:r>
        <w:rPr>
          <w:rFonts w:ascii="Franklin Gothic Medium"/>
          <w:spacing w:val="-1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89</w:t>
      </w:r>
    </w:p>
    <w:sectPr>
      <w:type w:val="continuous"/>
      <w:pgSz w:w="11910" w:h="16840"/>
      <w:pgMar w:top="1120" w:bottom="280" w:left="1480" w:right="1020"/>
      <w:cols w:num="2" w:equalWidth="0">
        <w:col w:w="2863" w:space="40"/>
        <w:col w:w="65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11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215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15" w:hanging="361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58" w:hanging="36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5" w:hanging="361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ftac.ru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ftac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2024-03-26T11:41:34Z</dcterms:created>
  <dcterms:modified xsi:type="dcterms:W3CDTF">2024-03-26T11:41:34Z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2024-03-26T00:00:00Z</vt:filetime>
  </property>
</Properties>
</file>