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1E" w:rsidRDefault="007E3E1E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80074">
        <w:rPr>
          <w:rFonts w:ascii="Times New Roman" w:eastAsia="Calibri" w:hAnsi="Times New Roman" w:cs="Times New Roman"/>
          <w:sz w:val="24"/>
          <w:szCs w:val="24"/>
        </w:rPr>
        <w:t>11</w:t>
      </w:r>
      <w:bookmarkStart w:id="0" w:name="_GoBack"/>
      <w:bookmarkEnd w:id="0"/>
      <w:r w:rsidR="007E3E1E">
        <w:rPr>
          <w:rFonts w:ascii="Times New Roman" w:eastAsia="Calibri" w:hAnsi="Times New Roman" w:cs="Times New Roman"/>
          <w:sz w:val="24"/>
          <w:szCs w:val="24"/>
        </w:rPr>
        <w:t>.02.2019г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E1E">
        <w:rPr>
          <w:rFonts w:ascii="Times New Roman" w:eastAsia="Calibri" w:hAnsi="Times New Roman" w:cs="Times New Roman"/>
          <w:sz w:val="24"/>
          <w:szCs w:val="24"/>
        </w:rPr>
        <w:t xml:space="preserve">                          № 271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Pr="00F63B98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3B98" w:rsidRPr="00002D62" w:rsidRDefault="00F63B98" w:rsidP="00F6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</w:p>
    <w:p w:rsidR="008D2E57" w:rsidRPr="00002D62" w:rsidRDefault="008D2E57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7359B7" w:rsidRPr="00002D62" w:rsidRDefault="00F945D1" w:rsidP="007359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</w:t>
      </w:r>
      <w:r w:rsidR="0009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620-КЗ «О налоге на имущество организаций», Федеральным законом от 30 сентября 2017 года</w:t>
      </w:r>
      <w:r w:rsidR="0009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286-ФЗ «О внесении изменений в часть вторую Налогового кодекса Российской Федерации и отдельные</w:t>
      </w:r>
      <w:proofErr w:type="gramEnd"/>
      <w:r w:rsidRPr="00F9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7359B7"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63B98"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</w:t>
      </w:r>
      <w:r w:rsidR="007359B7"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63B98"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="007359B7"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решил:</w:t>
      </w:r>
    </w:p>
    <w:p w:rsidR="007359B7" w:rsidRPr="00002D62" w:rsidRDefault="007359B7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02D62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002D62" w:rsidRPr="00002D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002D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r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006DD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Киевского </w:t>
      </w:r>
      <w:r w:rsidR="00F63B98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F63B98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>Крымского</w:t>
      </w:r>
      <w:r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 </w:t>
      </w:r>
      <w:r w:rsidR="00F63B98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30 сентября 2016 года №110 «Об установлении налога на имущество физических лиц на территории Киевского  сельского поселения Крымского района» </w:t>
      </w:r>
      <w:r w:rsidR="00311CBA">
        <w:rPr>
          <w:rFonts w:ascii="Times New Roman" w:eastAsia="SimSun" w:hAnsi="Times New Roman" w:cs="Times New Roman"/>
          <w:sz w:val="28"/>
          <w:szCs w:val="28"/>
          <w:lang w:eastAsia="ar-SA"/>
        </w:rPr>
        <w:t>(далее – Решение), изложив п</w:t>
      </w:r>
      <w:r w:rsidR="00002D62" w:rsidRPr="00002D62">
        <w:rPr>
          <w:rFonts w:ascii="Times New Roman" w:eastAsia="SimSun" w:hAnsi="Times New Roman" w:cs="Times New Roman"/>
          <w:sz w:val="28"/>
          <w:szCs w:val="28"/>
          <w:lang w:eastAsia="ru-RU"/>
        </w:rPr>
        <w:t>ункт 2</w:t>
      </w:r>
      <w:r w:rsidRPr="00002D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F6E10" w:rsidRPr="001C717A" w:rsidRDefault="00002D62" w:rsidP="00DF61D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F63B98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359B7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Установить налоговые ставки </w:t>
      </w:r>
      <w:proofErr w:type="gramStart"/>
      <w:r w:rsidR="007359B7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="007359B7" w:rsidRPr="00002D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7359B7" w:rsidRPr="001C717A" w:rsidTr="00002D62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1C717A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9B7" w:rsidRPr="001C717A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1C717A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1C717A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</w:tr>
      <w:tr w:rsidR="004F6E10" w:rsidRPr="001C717A" w:rsidTr="00DF61D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1C717A" w:rsidRDefault="004F6E10" w:rsidP="00994497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  <w:p w:rsidR="004F6E10" w:rsidRPr="001C717A" w:rsidRDefault="004F6E10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E10" w:rsidRPr="001C717A" w:rsidRDefault="004F6E10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1C717A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части жилых домов, квартиры, части квартир, комнаты;</w:t>
            </w:r>
          </w:p>
          <w:p w:rsidR="004F6E10" w:rsidRPr="001C717A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4F6E10" w:rsidRPr="001C717A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  <w:p w:rsidR="004F6E10" w:rsidRPr="001C717A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в том числе расположенные в объектах налогообложения, указанных в строках 2, 3 таблицы</w:t>
            </w:r>
          </w:p>
          <w:p w:rsidR="004F6E10" w:rsidRPr="001C717A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Хозяйственные строения или сооружения, площадь каждого из </w:t>
            </w: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</w:tr>
      <w:tr w:rsidR="004F6E10" w:rsidRPr="001C717A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1C717A" w:rsidRDefault="004F6E10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E10" w:rsidRPr="001C717A" w:rsidRDefault="004F6E10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1C717A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Объекты налогообложения, включенные в перечень, определяемый в соответствии с пунктом 7 статьи 378.2 НК РФ;</w:t>
            </w:r>
          </w:p>
          <w:p w:rsidR="004F6E10" w:rsidRPr="001C717A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Объекты налогообложения, предусмотренные абзацем вторым пункта 10 статьи 378.2 НК РФ;</w:t>
            </w:r>
          </w:p>
          <w:p w:rsidR="004F6E10" w:rsidRPr="001C717A" w:rsidRDefault="004F6E10" w:rsidP="002762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Объекты налогообложения, кадастровая стоимость каждого из которых до 300 000 000 рублей</w:t>
            </w:r>
          </w:p>
        </w:tc>
      </w:tr>
      <w:tr w:rsidR="004F6E10" w:rsidRPr="001C717A" w:rsidTr="004F6E1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1C717A" w:rsidRDefault="004F6E10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10" w:rsidRPr="001C717A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0" w:rsidRPr="001C717A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E10" w:rsidRPr="001C717A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10" w:rsidRPr="001C717A" w:rsidRDefault="004F6E10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E10" w:rsidRPr="001C717A" w:rsidRDefault="004F6E10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1C717A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Объекты налогообложения, кадастровая стоимость каждого из которых превышает 300 000 000 рублей</w:t>
            </w:r>
          </w:p>
          <w:p w:rsidR="004F6E10" w:rsidRPr="001C717A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2)Прочие объекты налогообложения</w:t>
            </w:r>
          </w:p>
        </w:tc>
      </w:tr>
    </w:tbl>
    <w:p w:rsidR="007E6DF9" w:rsidRPr="001C717A" w:rsidRDefault="007E6DF9" w:rsidP="007E6DF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11CBA" w:rsidRPr="0059516D" w:rsidRDefault="00AC5C1F" w:rsidP="00311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SimSun" w:hAnsi="Times New Roman" w:cs="Times New Roman"/>
          <w:sz w:val="28"/>
          <w:szCs w:val="24"/>
          <w:lang w:eastAsia="ar-SA"/>
        </w:rPr>
        <w:t>2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. Решение </w:t>
      </w:r>
      <w:r w:rsidR="00311CBA">
        <w:rPr>
          <w:rFonts w:ascii="Times New Roman" w:hAnsi="Times New Roman" w:cs="Times New Roman"/>
          <w:color w:val="000000" w:themeColor="text1"/>
          <w:sz w:val="28"/>
          <w:szCs w:val="24"/>
        </w:rPr>
        <w:t>Совета Кие</w:t>
      </w:r>
      <w:r w:rsidR="00311CBA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вского сельского поселения Крымского района 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от 21 ноября 2018 </w:t>
      </w:r>
      <w:r>
        <w:rPr>
          <w:rFonts w:ascii="Times New Roman" w:eastAsia="SimSun" w:hAnsi="Times New Roman" w:cs="Times New Roman"/>
          <w:sz w:val="28"/>
          <w:szCs w:val="24"/>
          <w:lang w:eastAsia="ar-SA"/>
        </w:rPr>
        <w:t>№257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 </w:t>
      </w:r>
      <w:r w:rsidR="00311CBA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«</w:t>
      </w:r>
      <w:r w:rsidRPr="00AC5C1F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  <w:r w:rsidR="00311CBA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» признать утратившим силу.</w:t>
      </w:r>
    </w:p>
    <w:p w:rsidR="00311CBA" w:rsidRPr="0059516D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>
        <w:rPr>
          <w:rFonts w:ascii="Times New Roman" w:eastAsia="SimSun" w:hAnsi="Times New Roman" w:cs="Times New Roman"/>
          <w:sz w:val="28"/>
          <w:szCs w:val="24"/>
          <w:lang w:eastAsia="ar-SA"/>
        </w:rPr>
        <w:t>3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. Опубликовать настоящее решение в с</w:t>
      </w:r>
      <w:r w:rsidR="00311CBA" w:rsidRPr="005951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редствах массовой информации 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и разместить на официальном сайте администрации </w:t>
      </w:r>
      <w:r w:rsidR="00311CBA">
        <w:rPr>
          <w:rFonts w:ascii="Times New Roman" w:hAnsi="Times New Roman" w:cs="Times New Roman"/>
          <w:color w:val="000000" w:themeColor="text1"/>
          <w:sz w:val="28"/>
          <w:szCs w:val="24"/>
        </w:rPr>
        <w:t>Кие</w:t>
      </w:r>
      <w:r w:rsidR="00311CBA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вского сельского поселения Крымского района</w:t>
      </w:r>
      <w:r w:rsidR="00311CBA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в информаци</w:t>
      </w:r>
      <w:r w:rsidR="00094D7B">
        <w:rPr>
          <w:rFonts w:ascii="Times New Roman" w:eastAsia="SimSun" w:hAnsi="Times New Roman" w:cs="Times New Roman"/>
          <w:sz w:val="28"/>
          <w:szCs w:val="24"/>
          <w:lang w:eastAsia="ar-SA"/>
        </w:rPr>
        <w:t>онно-телекоммуникационной сети Интернет</w:t>
      </w:r>
      <w:r w:rsidR="00311CB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.</w:t>
      </w:r>
    </w:p>
    <w:p w:rsidR="00311CBA" w:rsidRPr="0059516D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SimSun" w:hAnsi="Times New Roman" w:cs="Times New Roman"/>
          <w:sz w:val="28"/>
          <w:szCs w:val="24"/>
          <w:lang w:eastAsia="ar-SA"/>
        </w:rPr>
        <w:t>4</w:t>
      </w:r>
      <w:r w:rsidR="00311CBA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. Настоящее решение вступает в силу со дня официального опубликования и распространяется на правоотношения, возникшие с 1 января 2018 года.  </w:t>
      </w:r>
    </w:p>
    <w:p w:rsidR="00816387" w:rsidRPr="00002D62" w:rsidRDefault="00816387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002D62" w:rsidRPr="00002D62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02D62" w:rsidRPr="00002D62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002D62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</w:t>
      </w:r>
      <w:proofErr w:type="spellStart"/>
      <w:r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С.А.Отрощенко</w:t>
      </w:r>
      <w:proofErr w:type="spellEnd"/>
    </w:p>
    <w:p w:rsidR="00002D62" w:rsidRPr="00002D62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62" w:rsidRPr="00002D62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Киевского сельского поселения </w:t>
      </w:r>
    </w:p>
    <w:p w:rsidR="00002D62" w:rsidRPr="00002D62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</w:p>
    <w:p w:rsidR="00C07A1F" w:rsidRDefault="00580074"/>
    <w:sectPr w:rsidR="00C07A1F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C717A"/>
    <w:rsid w:val="001E1282"/>
    <w:rsid w:val="001F6EF8"/>
    <w:rsid w:val="00235F3A"/>
    <w:rsid w:val="002B6F92"/>
    <w:rsid w:val="00311CBA"/>
    <w:rsid w:val="00411410"/>
    <w:rsid w:val="0044341C"/>
    <w:rsid w:val="00497BF7"/>
    <w:rsid w:val="004F6E10"/>
    <w:rsid w:val="00580074"/>
    <w:rsid w:val="007359B7"/>
    <w:rsid w:val="007E3E1E"/>
    <w:rsid w:val="007E6DF9"/>
    <w:rsid w:val="00816387"/>
    <w:rsid w:val="00876ED7"/>
    <w:rsid w:val="008C47C4"/>
    <w:rsid w:val="008D2E57"/>
    <w:rsid w:val="00AC5C1F"/>
    <w:rsid w:val="00AD063C"/>
    <w:rsid w:val="00BA36C6"/>
    <w:rsid w:val="00C10141"/>
    <w:rsid w:val="00C80861"/>
    <w:rsid w:val="00C84F93"/>
    <w:rsid w:val="00C87C2C"/>
    <w:rsid w:val="00D53EC8"/>
    <w:rsid w:val="00DF61D4"/>
    <w:rsid w:val="00E345F6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6</cp:revision>
  <cp:lastPrinted>2019-01-24T06:48:00Z</cp:lastPrinted>
  <dcterms:created xsi:type="dcterms:W3CDTF">2019-02-05T06:10:00Z</dcterms:created>
  <dcterms:modified xsi:type="dcterms:W3CDTF">2019-02-19T05:52:00Z</dcterms:modified>
</cp:coreProperties>
</file>